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DB0" w:rsidRDefault="00DE50F7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ascii="Bookman Old Style" w:hAnsi="Bookman Old Style"/>
          <w:b/>
          <w:sz w:val="30"/>
        </w:rPr>
      </w:pPr>
      <w:bookmarkStart w:id="0" w:name="_GoBack"/>
      <w:bookmarkEnd w:id="0"/>
      <w:r>
        <w:rPr>
          <w:rFonts w:ascii="Bookman Old Style" w:hAnsi="Bookman Old Style"/>
          <w:b/>
          <w:noProof/>
          <w:sz w:val="3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8" type="#_x0000_t75" style="position:absolute;left:0;text-align:left;margin-left:-6.6pt;margin-top:3.4pt;width:38.5pt;height:40.65pt;z-index:251658752;visibility:visible;mso-wrap-edited:f" wrapcoords="-183 0 -183 21420 21600 21420 21600 0 -183 0" fillcolor="#fcfeb9" strokecolor="white" strokeweight="1pt">
            <v:fill color2="black"/>
            <v:imagedata r:id="rId4" o:title=""/>
            <v:shadow color="#3f000b"/>
          </v:shape>
          <o:OLEObject Type="Embed" ProgID="Word.Picture.8" ShapeID="_x0000_s1068" DrawAspect="Content" ObjectID="_1756792840" r:id="rId5"/>
        </w:object>
      </w:r>
      <w:r w:rsidR="003210D1">
        <w:rPr>
          <w:rFonts w:ascii="Bookman Old Style" w:hAnsi="Bookman Old Style"/>
          <w:b/>
          <w:noProof/>
          <w:sz w:val="3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6679565</wp:posOffset>
            </wp:positionH>
            <wp:positionV relativeFrom="paragraph">
              <wp:posOffset>62230</wp:posOffset>
            </wp:positionV>
            <wp:extent cx="445770" cy="497205"/>
            <wp:effectExtent l="0" t="0" r="0" b="0"/>
            <wp:wrapNone/>
            <wp:docPr id="43" name="Picture 1" descr="HALlogo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LlogoCMY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0DB0">
        <w:rPr>
          <w:rFonts w:ascii="Bookman Old Style" w:hAnsi="Bookman Old Style"/>
          <w:b/>
          <w:sz w:val="30"/>
        </w:rPr>
        <w:t>San Joaquin Valley</w:t>
      </w:r>
    </w:p>
    <w:p w:rsidR="007C0DB0" w:rsidRDefault="007C0DB0">
      <w:pPr>
        <w:tabs>
          <w:tab w:val="left" w:pos="0"/>
          <w:tab w:val="left" w:pos="378"/>
          <w:tab w:val="left" w:pos="1350"/>
          <w:tab w:val="left" w:pos="5598"/>
          <w:tab w:val="left" w:pos="7110"/>
          <w:tab w:val="left" w:pos="7830"/>
          <w:tab w:val="left" w:pos="8550"/>
          <w:tab w:val="left" w:pos="9270"/>
          <w:tab w:val="left" w:pos="9990"/>
          <w:tab w:val="left" w:pos="10710"/>
          <w:tab w:val="left" w:pos="11430"/>
          <w:tab w:val="left" w:pos="12150"/>
          <w:tab w:val="left" w:pos="12870"/>
          <w:tab w:val="left" w:pos="13590"/>
          <w:tab w:val="left" w:pos="14310"/>
          <w:tab w:val="left" w:pos="15030"/>
          <w:tab w:val="left" w:pos="15750"/>
          <w:tab w:val="left" w:pos="16470"/>
          <w:tab w:val="left" w:pos="17190"/>
          <w:tab w:val="left" w:pos="17910"/>
          <w:tab w:val="left" w:pos="18630"/>
          <w:tab w:val="left" w:pos="31140"/>
        </w:tabs>
        <w:suppressAutoHyphens/>
        <w:jc w:val="center"/>
        <w:rPr>
          <w:rFonts w:ascii="CG Times (WN)" w:hAnsi="CG Times (WN)"/>
          <w:b/>
          <w:sz w:val="30"/>
        </w:rPr>
      </w:pPr>
      <w:r>
        <w:rPr>
          <w:rFonts w:ascii="Bookman Old Style" w:hAnsi="Bookman Old Style"/>
          <w:b/>
          <w:sz w:val="30"/>
        </w:rPr>
        <w:t>Unified Air Pollution Control District</w:t>
      </w:r>
    </w:p>
    <w:p w:rsidR="007C0DB0" w:rsidRDefault="007C0DB0">
      <w:pPr>
        <w:pStyle w:val="Heading1"/>
        <w:rPr>
          <w:sz w:val="26"/>
        </w:rPr>
      </w:pPr>
      <w:r>
        <w:rPr>
          <w:sz w:val="26"/>
        </w:rPr>
        <w:t>Title V Application - INSIGNIFICANT ACTIVITIES</w:t>
      </w:r>
    </w:p>
    <w:p w:rsidR="007C0DB0" w:rsidRDefault="007C0DB0">
      <w:pPr>
        <w:rPr>
          <w:sz w:val="8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050"/>
        <w:gridCol w:w="1080"/>
        <w:gridCol w:w="581"/>
        <w:gridCol w:w="2029"/>
        <w:gridCol w:w="1800"/>
        <w:gridCol w:w="1080"/>
        <w:gridCol w:w="540"/>
      </w:tblGrid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740" w:type="dxa"/>
            <w:gridSpan w:val="4"/>
            <w:tcBorders>
              <w:top w:val="double" w:sz="4" w:space="0" w:color="auto"/>
              <w:left w:val="double" w:sz="4" w:space="0" w:color="auto"/>
              <w:bottom w:val="single" w:sz="48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COMPANY NAME:</w:t>
            </w:r>
          </w:p>
        </w:tc>
        <w:tc>
          <w:tcPr>
            <w:tcW w:w="3419" w:type="dxa"/>
            <w:gridSpan w:val="3"/>
            <w:tcBorders>
              <w:top w:val="double" w:sz="4" w:space="0" w:color="auto"/>
              <w:left w:val="single" w:sz="6" w:space="0" w:color="auto"/>
              <w:bottom w:val="single" w:sz="48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 xml:space="preserve">FACILITY ID:       </w:t>
            </w:r>
            <w:r>
              <w:rPr>
                <w:rFonts w:ascii="CG Times (WN)" w:hAnsi="CG Times (WN)"/>
                <w:b/>
                <w:sz w:val="28"/>
              </w:rPr>
              <w:t>-</w:t>
            </w: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1159" w:type="dxa"/>
            <w:gridSpan w:val="7"/>
            <w:tcBorders>
              <w:left w:val="double" w:sz="4" w:space="0" w:color="auto"/>
              <w:bottom w:val="double" w:sz="6" w:space="0" w:color="auto"/>
              <w:right w:val="double" w:sz="4" w:space="0" w:color="auto"/>
            </w:tcBorders>
          </w:tcPr>
          <w:p w:rsidR="007C0DB0" w:rsidRDefault="007C0DB0">
            <w:pPr>
              <w:pStyle w:val="FootnoteText"/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Check the box next to the exemption category from Rule 2020 which describes any insignificant activity or equipment at your facility not requiring a permit.</w:t>
            </w: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48" w:space="0" w:color="auto"/>
              <w:left w:val="double" w:sz="4" w:space="0" w:color="auto"/>
              <w:bottom w:val="double" w:sz="6" w:space="0" w:color="auto"/>
            </w:tcBorders>
          </w:tcPr>
          <w:p w:rsidR="007C0DB0" w:rsidRDefault="007C0DB0">
            <w:pPr>
              <w:pStyle w:val="FootnoteText"/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24"/>
              </w:rPr>
            </w:pPr>
            <w:r>
              <w:rPr>
                <w:rFonts w:ascii="CG Times (WN)" w:hAnsi="CG Times (WN)"/>
                <w:sz w:val="24"/>
              </w:rPr>
              <w:t>Exemption Category</w:t>
            </w:r>
          </w:p>
        </w:tc>
        <w:tc>
          <w:tcPr>
            <w:tcW w:w="1080" w:type="dxa"/>
            <w:tcBorders>
              <w:top w:val="single" w:sz="48" w:space="0" w:color="auto"/>
              <w:left w:val="single" w:sz="6" w:space="0" w:color="auto"/>
              <w:bottom w:val="double" w:sz="6" w:space="0" w:color="auto"/>
            </w:tcBorders>
          </w:tcPr>
          <w:p w:rsidR="007C0DB0" w:rsidRDefault="007C0DB0">
            <w:pPr>
              <w:pStyle w:val="Head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Rule 2020 Citation</w:t>
            </w:r>
          </w:p>
        </w:tc>
        <w:tc>
          <w:tcPr>
            <w:tcW w:w="581" w:type="dxa"/>
            <w:tcBorders>
              <w:top w:val="single" w:sz="48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C0DB0" w:rsidRDefault="007C0DB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sym w:font="Symbol" w:char="F0D6"/>
            </w:r>
          </w:p>
        </w:tc>
        <w:tc>
          <w:tcPr>
            <w:tcW w:w="3829" w:type="dxa"/>
            <w:gridSpan w:val="2"/>
            <w:tcBorders>
              <w:top w:val="single" w:sz="48" w:space="0" w:color="auto"/>
              <w:left w:val="single" w:sz="6" w:space="0" w:color="auto"/>
              <w:bottom w:val="double" w:sz="6" w:space="0" w:color="auto"/>
            </w:tcBorders>
          </w:tcPr>
          <w:p w:rsidR="007C0DB0" w:rsidRDefault="007C0DB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t>Exemption Category</w:t>
            </w:r>
          </w:p>
        </w:tc>
        <w:tc>
          <w:tcPr>
            <w:tcW w:w="1080" w:type="dxa"/>
            <w:tcBorders>
              <w:top w:val="single" w:sz="48" w:space="0" w:color="auto"/>
              <w:left w:val="single" w:sz="6" w:space="0" w:color="auto"/>
              <w:bottom w:val="double" w:sz="6" w:space="0" w:color="auto"/>
            </w:tcBorders>
          </w:tcPr>
          <w:p w:rsidR="007C0DB0" w:rsidRDefault="007C0DB0">
            <w:pPr>
              <w:pStyle w:val="Header"/>
              <w:rPr>
                <w:rFonts w:ascii="CG Times" w:hAnsi="CG Times"/>
                <w:sz w:val="20"/>
              </w:rPr>
            </w:pPr>
            <w:r>
              <w:rPr>
                <w:rFonts w:ascii="CG Times" w:hAnsi="CG Times"/>
                <w:sz w:val="20"/>
              </w:rPr>
              <w:t>Rule 2020 Citation</w:t>
            </w:r>
          </w:p>
        </w:tc>
        <w:tc>
          <w:tcPr>
            <w:tcW w:w="540" w:type="dxa"/>
            <w:tcBorders>
              <w:top w:val="single" w:sz="48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:rsidR="007C0DB0" w:rsidRDefault="007C0DB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</w:rPr>
            </w:pPr>
            <w:r>
              <w:rPr>
                <w:rFonts w:ascii="CG Times (WN)" w:hAnsi="CG Times (WN)"/>
              </w:rPr>
              <w:sym w:font="Symbol" w:char="F0D6"/>
            </w: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507"/>
        </w:trPr>
        <w:tc>
          <w:tcPr>
            <w:tcW w:w="4050" w:type="dxa"/>
            <w:tcBorders>
              <w:top w:val="single" w:sz="24" w:space="0" w:color="auto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Structure or incinerator assoc. with a structure designed as a dwelling for 4 families or less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4.1</w:t>
            </w:r>
          </w:p>
        </w:tc>
        <w:tc>
          <w:tcPr>
            <w:tcW w:w="581" w:type="dxa"/>
            <w:tcBorders>
              <w:top w:val="single" w:sz="2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2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Containers used to store refined lubricating oils</w:t>
            </w:r>
          </w:p>
        </w:tc>
        <w:tc>
          <w:tcPr>
            <w:tcW w:w="1080" w:type="dxa"/>
            <w:vMerge w:val="restart"/>
            <w:tcBorders>
              <w:top w:val="single" w:sz="2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6.6.8</w:t>
            </w:r>
          </w:p>
        </w:tc>
        <w:tc>
          <w:tcPr>
            <w:tcW w:w="540" w:type="dxa"/>
            <w:vMerge w:val="restart"/>
            <w:tcBorders>
              <w:top w:val="single" w:sz="24" w:space="0" w:color="auto"/>
              <w:left w:val="single" w:sz="6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Locomotives, airplanes, and watercraft used to transport passengers or freight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4.4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050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Unvented pressure vessels used exclusively to store liquified gases or assoc with exempt equipment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6.6.9 or 6.13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Natural gas or LPG-fired boilers or other indirect heat transfer units of 5 MMBtu/hr or less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6.1.1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050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Portable tanks used exclusively to store produced fluids for </w:t>
            </w:r>
            <w:r>
              <w:rPr>
                <w:rFonts w:ascii="CG Times (WN)" w:hAnsi="CG Times (WN)"/>
                <w:sz w:val="16"/>
              </w:rPr>
              <w:sym w:font="Symbol" w:char="F0A3"/>
            </w:r>
            <w:r>
              <w:rPr>
                <w:rFonts w:ascii="CG Times (WN)" w:hAnsi="CG Times (WN)"/>
                <w:sz w:val="16"/>
              </w:rPr>
              <w:t xml:space="preserve"> six months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Piston-type i.c.engine with maximum continuous rating of 50 braking horsepower (bhp) or less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6.1.2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8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Mobile transport tanks on delivery vehicles of VOCs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87"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Gas turbine engines with maximum heat input rating of 3 MMBtu/hr or less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6.1.3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Loading racks used for the transfer of less than 4,000 gal/day of unheated organic material with initial boiling point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 xml:space="preserve"> 302 F or of fuel oil with specific gravity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>0.8251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6.7.1.1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Space heating equipment other than boilers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6.1.4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Loading racks used for the transfer of asphalt, crude or residual oil stored in exempt tanks, or crude oil with specific gravity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 xml:space="preserve"> 0.8762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6.7.1.2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Cooling towers with a circulation rate less than 10,000 gal/min, and that are not used for cooling of process water, or water from barometric jets or condensers++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6.2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050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Equipment used exclusively for the transfer of refined lubricating oil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6.7.2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Use of less than 2 gal/day of graphic arts materials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6.3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314"/>
        </w:trPr>
        <w:tc>
          <w:tcPr>
            <w:tcW w:w="4050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Equipment used to apply architectural coatings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6.8.1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Equipment at retail establishments used to prepare food for human consumption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6.4.1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Unheated, non-conveyorized cleaning equipment with </w:t>
            </w:r>
            <w:r>
              <w:rPr>
                <w:rFonts w:ascii="CG Times (WN)" w:hAnsi="CG Times (WN)"/>
                <w:sz w:val="16"/>
              </w:rPr>
              <w:sym w:font="Symbol" w:char="F03C"/>
            </w:r>
            <w:r>
              <w:rPr>
                <w:rFonts w:ascii="CG Times (WN)" w:hAnsi="CG Times (WN)"/>
                <w:sz w:val="16"/>
              </w:rPr>
              <w:t xml:space="preserve"> 10 ft</w:t>
            </w:r>
            <w:r>
              <w:rPr>
                <w:rFonts w:ascii="CG Times (WN)" w:hAnsi="CG Times (WN)"/>
                <w:sz w:val="16"/>
                <w:vertAlign w:val="superscript"/>
              </w:rPr>
              <w:t>2</w:t>
            </w:r>
            <w:r>
              <w:rPr>
                <w:rFonts w:ascii="CG Times (WN)" w:hAnsi="CG Times (WN)"/>
                <w:sz w:val="16"/>
              </w:rPr>
              <w:t xml:space="preserve"> open area; using solvents with initial boiling point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 xml:space="preserve"> 248 F; and </w:t>
            </w:r>
            <w:r>
              <w:rPr>
                <w:rFonts w:ascii="CG Times (WN)" w:hAnsi="CG Times (WN)"/>
                <w:sz w:val="16"/>
              </w:rPr>
              <w:sym w:font="Symbol" w:char="F03C"/>
            </w:r>
            <w:r>
              <w:rPr>
                <w:rFonts w:ascii="CG Times (WN)" w:hAnsi="CG Times (WN)"/>
                <w:sz w:val="16"/>
              </w:rPr>
              <w:t xml:space="preserve"> 25 gal/yr. evaporative losses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Ovens at bakeries with total daily production less than 1,000 pounds and exempt by sec. 6.1.1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6.4.3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4050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Brazing, soldering, or welding equipment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5"/>
        </w:trPr>
        <w:tc>
          <w:tcPr>
            <w:tcW w:w="4050" w:type="dxa"/>
            <w:vMerge w:val="restart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Equipment used exclusively for extruding or compression molding of rubber or plastics, where no plastisizer or blowing agent is used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6.5</w:t>
            </w:r>
          </w:p>
        </w:tc>
        <w:tc>
          <w:tcPr>
            <w:tcW w:w="58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332"/>
        </w:trPr>
        <w:tc>
          <w:tcPr>
            <w:tcW w:w="4050" w:type="dxa"/>
            <w:vMerge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</w:p>
        </w:tc>
        <w:tc>
          <w:tcPr>
            <w:tcW w:w="58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Equipment used to compress natural gas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Containers used to store clean produced water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Fugitive emissions sources assoc. with exempt equipment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Containers  </w:t>
            </w:r>
            <w:r>
              <w:rPr>
                <w:rFonts w:ascii="CG Times (WN)" w:hAnsi="CG Times (WN)"/>
                <w:sz w:val="16"/>
              </w:rPr>
              <w:sym w:font="Symbol" w:char="F0A3"/>
            </w:r>
            <w:r>
              <w:rPr>
                <w:rFonts w:ascii="CG Times (WN)" w:hAnsi="CG Times (WN)"/>
                <w:sz w:val="16"/>
              </w:rPr>
              <w:t xml:space="preserve">100 bbl used to store oil with specific gravity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 xml:space="preserve"> 0.8762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6.6.2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pStyle w:val="Header"/>
              <w:tabs>
                <w:tab w:val="clear" w:pos="4320"/>
                <w:tab w:val="clear" w:pos="8640"/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1)" w:hAnsi="CG Times (W1)"/>
                <w:sz w:val="16"/>
              </w:rPr>
            </w:pPr>
            <w:r>
              <w:rPr>
                <w:rFonts w:ascii="CG Times (WN)" w:hAnsi="CG Times (WN)"/>
                <w:sz w:val="16"/>
              </w:rPr>
              <w:t>Pits and Ponds as defined in Rule 1020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Containers </w:t>
            </w:r>
            <w:r>
              <w:rPr>
                <w:rFonts w:ascii="CG Times (WN)" w:hAnsi="CG Times (WN)"/>
                <w:sz w:val="16"/>
              </w:rPr>
              <w:sym w:font="Symbol" w:char="F0A3"/>
            </w:r>
            <w:r>
              <w:rPr>
                <w:rFonts w:ascii="CG Times (WN)" w:hAnsi="CG Times (WN)"/>
                <w:sz w:val="16"/>
              </w:rPr>
              <w:t xml:space="preserve"> 100 bbl installed prior to 6/1/89 used to store oil with specific gravity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 xml:space="preserve"> 0.8762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6.6.3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1)" w:hAnsi="CG Times (W1)"/>
                <w:sz w:val="16"/>
              </w:rPr>
              <w:t>On-site roadmix manufacturing and the application of roadmix as a road base material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6.17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Containers with a capacity </w:t>
            </w:r>
            <w:r>
              <w:rPr>
                <w:rFonts w:ascii="CG Times (WN)" w:hAnsi="CG Times (WN)"/>
                <w:sz w:val="16"/>
              </w:rPr>
              <w:sym w:font="Symbol" w:char="F0A3"/>
            </w:r>
            <w:r>
              <w:rPr>
                <w:rFonts w:ascii="CG Times (WN)" w:hAnsi="CG Times (WN)"/>
                <w:sz w:val="16"/>
              </w:rPr>
              <w:t xml:space="preserve"> 250 gallons used to store org-anic material where the actual storage temperature  </w:t>
            </w:r>
            <w:r>
              <w:rPr>
                <w:rFonts w:ascii="CG Times (WN)" w:hAnsi="CG Times (WN)"/>
                <w:sz w:val="16"/>
              </w:rPr>
              <w:sym w:font="Symbol" w:char="F03C"/>
            </w:r>
            <w:r>
              <w:rPr>
                <w:rFonts w:ascii="CG Times (WN)" w:hAnsi="CG Times (WN)"/>
                <w:sz w:val="16"/>
              </w:rPr>
              <w:t>150 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6.6.4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Emissions less than 2 lb/day from units not included above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6.19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Containers used to store unheated organic material with an initial boiling point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 xml:space="preserve"> 302 F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6.6.5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Venting PUC quality natural gas from for sole purpose of pipeline and compressor repair and or maintenance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7.2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Containers used to store fuel oils or non-air-blown asphalt with specific gravity 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>0.9042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6.6.6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sing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Non-structural repairs &amp; maintenance to permitted equipment</w:t>
            </w:r>
          </w:p>
        </w:tc>
        <w:tc>
          <w:tcPr>
            <w:tcW w:w="1080" w:type="dxa"/>
            <w:tcBorders>
              <w:left w:val="single" w:sz="6" w:space="0" w:color="auto"/>
              <w:bottom w:val="sing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7.3</w:t>
            </w:r>
          </w:p>
        </w:tc>
        <w:tc>
          <w:tcPr>
            <w:tcW w:w="540" w:type="dxa"/>
            <w:tcBorders>
              <w:left w:val="single" w:sz="6" w:space="0" w:color="auto"/>
              <w:bottom w:val="sing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  <w:tr w:rsidR="007C0DB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050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Containers used to store petroleum distillates used as motor fuel with specific gravity </w:t>
            </w:r>
            <w:r>
              <w:rPr>
                <w:rFonts w:ascii="CG Times (WN)" w:hAnsi="CG Times (WN)"/>
                <w:sz w:val="16"/>
              </w:rPr>
              <w:sym w:font="Symbol" w:char="F0B3"/>
            </w:r>
            <w:r>
              <w:rPr>
                <w:rFonts w:ascii="CG Times (WN)" w:hAnsi="CG Times (WN)"/>
                <w:sz w:val="16"/>
              </w:rPr>
              <w:t xml:space="preserve"> 0.8251</w:t>
            </w: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6.6.7</w:t>
            </w:r>
          </w:p>
        </w:tc>
        <w:tc>
          <w:tcPr>
            <w:tcW w:w="581" w:type="dxa"/>
            <w:tcBorders>
              <w:top w:val="nil"/>
              <w:left w:val="single" w:sz="6" w:space="0" w:color="auto"/>
              <w:bottom w:val="double" w:sz="4" w:space="0" w:color="auto"/>
              <w:right w:val="double" w:sz="6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 xml:space="preserve">Detonation of explosives </w:t>
            </w:r>
            <w:r>
              <w:rPr>
                <w:rFonts w:ascii="CG Times (WN)" w:hAnsi="CG Times (WN)"/>
                <w:sz w:val="16"/>
              </w:rPr>
              <w:sym w:font="Symbol" w:char="F0A3"/>
            </w:r>
            <w:r>
              <w:rPr>
                <w:rFonts w:ascii="CG Times (WN)" w:hAnsi="CG Times (WN)"/>
                <w:sz w:val="16"/>
              </w:rPr>
              <w:t xml:space="preserve"> 100 lb/day and 1,000 lb/year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  <w:r>
              <w:rPr>
                <w:rFonts w:ascii="CG Times (WN)" w:hAnsi="CG Times (WN)"/>
                <w:sz w:val="16"/>
              </w:rPr>
              <w:t>7.4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7C0DB0" w:rsidRDefault="007C0DB0">
            <w:pPr>
              <w:tabs>
                <w:tab w:val="left" w:pos="0"/>
                <w:tab w:val="left" w:pos="378"/>
                <w:tab w:val="left" w:pos="1350"/>
                <w:tab w:val="left" w:pos="5598"/>
                <w:tab w:val="left" w:pos="7110"/>
                <w:tab w:val="left" w:pos="7830"/>
                <w:tab w:val="left" w:pos="8550"/>
                <w:tab w:val="left" w:pos="9270"/>
                <w:tab w:val="left" w:pos="9990"/>
                <w:tab w:val="left" w:pos="10710"/>
                <w:tab w:val="left" w:pos="11430"/>
                <w:tab w:val="left" w:pos="12150"/>
                <w:tab w:val="left" w:pos="12870"/>
                <w:tab w:val="left" w:pos="13590"/>
                <w:tab w:val="left" w:pos="14310"/>
                <w:tab w:val="left" w:pos="15030"/>
                <w:tab w:val="left" w:pos="15750"/>
                <w:tab w:val="left" w:pos="16470"/>
                <w:tab w:val="left" w:pos="17190"/>
                <w:tab w:val="left" w:pos="17910"/>
                <w:tab w:val="left" w:pos="18630"/>
                <w:tab w:val="left" w:pos="31140"/>
              </w:tabs>
              <w:suppressAutoHyphens/>
              <w:spacing w:before="90" w:after="54"/>
              <w:rPr>
                <w:rFonts w:ascii="CG Times (WN)" w:hAnsi="CG Times (WN)"/>
                <w:sz w:val="16"/>
              </w:rPr>
            </w:pPr>
          </w:p>
        </w:tc>
      </w:tr>
    </w:tbl>
    <w:p w:rsidR="007C0DB0" w:rsidRDefault="003210D1">
      <w:pPr>
        <w:tabs>
          <w:tab w:val="right" w:pos="11160"/>
        </w:tabs>
        <w:suppressAutoHyphens/>
        <w:spacing w:before="90"/>
        <w:rPr>
          <w:rFonts w:ascii="CG Times" w:hAnsi="CG Times"/>
          <w:sz w:val="22"/>
        </w:rPr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18415</wp:posOffset>
                </wp:positionH>
                <wp:positionV relativeFrom="paragraph">
                  <wp:posOffset>68580</wp:posOffset>
                </wp:positionV>
                <wp:extent cx="182880" cy="161290"/>
                <wp:effectExtent l="0" t="0" r="0" b="0"/>
                <wp:wrapNone/>
                <wp:docPr id="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61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62245" id="Rectangle 40" o:spid="_x0000_s1026" style="position:absolute;margin-left:1.45pt;margin-top:5.4pt;width:14.4pt;height:12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" o:allowincell="f" strokeweight="2pt"/>
            </w:pict>
          </mc:Fallback>
        </mc:AlternateContent>
      </w:r>
      <w:r w:rsidR="007C0DB0">
        <w:rPr>
          <w:rFonts w:ascii="CG Times" w:hAnsi="CG Times"/>
          <w:sz w:val="22"/>
        </w:rPr>
        <w:t xml:space="preserve">        No insignificant activities (Check this box if no equipment in the above categories exist at your facility.)</w:t>
      </w:r>
    </w:p>
    <w:p w:rsidR="007C0DB0" w:rsidRDefault="007C0DB0">
      <w:pPr>
        <w:tabs>
          <w:tab w:val="right" w:pos="11160"/>
        </w:tabs>
        <w:suppressAutoHyphens/>
        <w:jc w:val="center"/>
        <w:rPr>
          <w:rFonts w:ascii="CG Times (WN)" w:hAnsi="CG Times (WN)"/>
          <w:sz w:val="10"/>
        </w:rPr>
      </w:pPr>
    </w:p>
    <w:p w:rsidR="007C0DB0" w:rsidRDefault="007C0DB0">
      <w:pPr>
        <w:tabs>
          <w:tab w:val="right" w:pos="11160"/>
        </w:tabs>
        <w:suppressAutoHyphens/>
        <w:jc w:val="right"/>
        <w:rPr>
          <w:rFonts w:ascii="CG Times (WN)" w:hAnsi="CG Times (WN)"/>
          <w:sz w:val="18"/>
        </w:rPr>
      </w:pPr>
      <w:r>
        <w:rPr>
          <w:rFonts w:ascii="CG Times (WN)" w:hAnsi="CG Times (WN)"/>
          <w:sz w:val="18"/>
        </w:rPr>
        <w:t>TVFORM–003</w:t>
      </w:r>
    </w:p>
    <w:p w:rsidR="007C0DB0" w:rsidRDefault="007C0DB0">
      <w:pPr>
        <w:tabs>
          <w:tab w:val="right" w:pos="11160"/>
        </w:tabs>
        <w:suppressAutoHyphens/>
        <w:jc w:val="right"/>
        <w:rPr>
          <w:sz w:val="12"/>
        </w:rPr>
      </w:pPr>
      <w:r>
        <w:rPr>
          <w:rFonts w:ascii="CG Times (WN)" w:hAnsi="CG Times (WN)"/>
          <w:sz w:val="12"/>
        </w:rPr>
        <w:t xml:space="preserve"> (Rev. September-2001)</w:t>
      </w:r>
    </w:p>
    <w:sectPr w:rsidR="007C0DB0">
      <w:pgSz w:w="12240" w:h="15840" w:code="1"/>
      <w:pgMar w:top="432" w:right="547" w:bottom="432" w:left="547" w:header="144" w:footer="14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0F7"/>
    <w:rsid w:val="003210D1"/>
    <w:rsid w:val="0061669F"/>
    <w:rsid w:val="007C0DB0"/>
    <w:rsid w:val="00DE5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."/>
  <w:listSeparator w:val=","/>
  <w15:chartTrackingRefBased/>
  <w15:docId w15:val="{15D89E1F-4555-42F7-BDB1-BB5EFF8A2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378"/>
        <w:tab w:val="left" w:pos="1350"/>
        <w:tab w:val="left" w:pos="5598"/>
        <w:tab w:val="left" w:pos="7110"/>
        <w:tab w:val="left" w:pos="7830"/>
        <w:tab w:val="left" w:pos="8550"/>
        <w:tab w:val="left" w:pos="9270"/>
        <w:tab w:val="left" w:pos="9990"/>
        <w:tab w:val="left" w:pos="10710"/>
        <w:tab w:val="left" w:pos="11430"/>
        <w:tab w:val="left" w:pos="12150"/>
        <w:tab w:val="left" w:pos="12870"/>
        <w:tab w:val="left" w:pos="13590"/>
        <w:tab w:val="left" w:pos="14310"/>
        <w:tab w:val="left" w:pos="15030"/>
        <w:tab w:val="left" w:pos="15750"/>
        <w:tab w:val="left" w:pos="16470"/>
        <w:tab w:val="left" w:pos="17190"/>
        <w:tab w:val="left" w:pos="17910"/>
        <w:tab w:val="left" w:pos="18630"/>
        <w:tab w:val="left" w:pos="31140"/>
      </w:tabs>
      <w:suppressAutoHyphens/>
      <w:jc w:val="center"/>
      <w:outlineLvl w:val="0"/>
    </w:pPr>
    <w:rPr>
      <w:rFonts w:ascii="CG Times (WN)" w:hAnsi="CG Times (WN)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Insignificant Activities</vt:lpstr>
    </vt:vector>
  </TitlesOfParts>
  <Company>SJVUAPCD</Company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Insignificant Activities</dc:title>
  <dc:subject/>
  <dc:creator>Carlos V. Garcia</dc:creator>
  <cp:keywords/>
  <dc:description>Attach to TVFORM-Main for Initial, Renewal, or TV permit application_x000d_
_x000d_
Revised due to Rule 2020 amendments.  Only section numbers were updated and reorganized.</dc:description>
  <cp:lastModifiedBy>Jason Lawler</cp:lastModifiedBy>
  <cp:revision>2</cp:revision>
  <cp:lastPrinted>2001-09-11T15:44:00Z</cp:lastPrinted>
  <dcterms:created xsi:type="dcterms:W3CDTF">2023-09-21T16:14:00Z</dcterms:created>
  <dcterms:modified xsi:type="dcterms:W3CDTF">2023-09-21T16:14:00Z</dcterms:modified>
</cp:coreProperties>
</file>